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4225" w14:textId="77777777" w:rsidR="00EF234B" w:rsidRPr="00EF234B" w:rsidRDefault="00EF234B" w:rsidP="00EF234B">
      <w:pPr>
        <w:pStyle w:val="Sansinterligne"/>
        <w:jc w:val="center"/>
        <w:rPr>
          <w:b/>
          <w:sz w:val="32"/>
          <w:lang w:eastAsia="fr-FR"/>
        </w:rPr>
      </w:pPr>
      <w:r w:rsidRPr="00EF234B">
        <w:rPr>
          <w:b/>
          <w:sz w:val="32"/>
          <w:lang w:eastAsia="fr-FR"/>
        </w:rPr>
        <w:fldChar w:fldCharType="begin"/>
      </w:r>
      <w:r w:rsidRPr="00EF234B">
        <w:rPr>
          <w:b/>
          <w:sz w:val="32"/>
          <w:lang w:eastAsia="fr-FR"/>
        </w:rPr>
        <w:instrText xml:space="preserve"> HYPERLINK "https://www.infocatho.fr/pater-tentation-ou-epreuve-un-peu-de-vocabulaire-pour-y-voir-clair/" </w:instrText>
      </w:r>
      <w:r w:rsidRPr="00EF234B">
        <w:rPr>
          <w:b/>
          <w:sz w:val="32"/>
          <w:lang w:eastAsia="fr-FR"/>
        </w:rPr>
        <w:fldChar w:fldCharType="separate"/>
      </w:r>
      <w:r w:rsidRPr="00EF234B">
        <w:rPr>
          <w:rFonts w:ascii="inherit" w:hAnsi="inherit"/>
          <w:b/>
          <w:color w:val="0000FF"/>
          <w:sz w:val="28"/>
          <w:u w:val="single"/>
          <w:bdr w:val="none" w:sz="0" w:space="0" w:color="auto" w:frame="1"/>
          <w:lang w:eastAsia="fr-FR"/>
        </w:rPr>
        <w:t>Pater, tentation ou épreuve, un peu de vocabulaire pour y voir clair</w:t>
      </w:r>
      <w:r w:rsidRPr="00EF234B">
        <w:rPr>
          <w:b/>
          <w:sz w:val="32"/>
          <w:lang w:eastAsia="fr-FR"/>
        </w:rPr>
        <w:fldChar w:fldCharType="end"/>
      </w:r>
    </w:p>
    <w:p w14:paraId="06407324" w14:textId="77777777" w:rsidR="00EF234B" w:rsidRPr="00EF234B" w:rsidRDefault="00EF234B" w:rsidP="00EF234B">
      <w:pPr>
        <w:pStyle w:val="Sansinterligne"/>
        <w:jc w:val="center"/>
        <w:rPr>
          <w:color w:val="D0D0D0"/>
          <w:sz w:val="23"/>
          <w:szCs w:val="23"/>
          <w:lang w:eastAsia="fr-FR"/>
        </w:rPr>
      </w:pPr>
      <w:hyperlink r:id="rId5" w:tooltip="Articles par Rédaction InfoCatho" w:history="1">
        <w:r w:rsidRPr="00EF234B">
          <w:rPr>
            <w:rFonts w:ascii="inherit" w:hAnsi="inherit"/>
            <w:b/>
            <w:color w:val="B1B1B1"/>
            <w:sz w:val="29"/>
            <w:szCs w:val="23"/>
            <w:u w:val="single"/>
            <w:bdr w:val="none" w:sz="0" w:space="0" w:color="auto" w:frame="1"/>
            <w:lang w:eastAsia="fr-FR"/>
          </w:rPr>
          <w:t xml:space="preserve">Rédaction </w:t>
        </w:r>
        <w:proofErr w:type="spellStart"/>
        <w:r w:rsidRPr="00EF234B">
          <w:rPr>
            <w:rFonts w:ascii="inherit" w:hAnsi="inherit"/>
            <w:b/>
            <w:color w:val="B1B1B1"/>
            <w:sz w:val="29"/>
            <w:szCs w:val="23"/>
            <w:u w:val="single"/>
            <w:bdr w:val="none" w:sz="0" w:space="0" w:color="auto" w:frame="1"/>
            <w:lang w:eastAsia="fr-FR"/>
          </w:rPr>
          <w:t>InfoCatho</w:t>
        </w:r>
        <w:proofErr w:type="spellEnd"/>
      </w:hyperlink>
    </w:p>
    <w:p w14:paraId="6A53216E" w14:textId="42FAC7AD" w:rsidR="00EF234B" w:rsidRPr="00EF234B" w:rsidRDefault="00EF234B" w:rsidP="00EF234B">
      <w:pPr>
        <w:pStyle w:val="Sansinterligne"/>
        <w:rPr>
          <w:color w:val="D0D0D0"/>
          <w:sz w:val="23"/>
          <w:szCs w:val="23"/>
          <w:lang w:eastAsia="fr-FR"/>
        </w:rPr>
      </w:pPr>
    </w:p>
    <w:p w14:paraId="271AE5AD" w14:textId="77777777" w:rsidR="00EF234B" w:rsidRPr="00EF234B" w:rsidRDefault="00EF234B" w:rsidP="00EF234B">
      <w:pPr>
        <w:pStyle w:val="Sansinterligne"/>
        <w:rPr>
          <w:color w:val="471E1E"/>
          <w:sz w:val="26"/>
          <w:szCs w:val="26"/>
          <w:lang w:eastAsia="fr-FR"/>
        </w:rPr>
      </w:pPr>
      <w:proofErr w:type="spellStart"/>
      <w:r w:rsidRPr="00EF234B">
        <w:rPr>
          <w:rFonts w:ascii="inherit" w:hAnsi="inherit"/>
          <w:i/>
          <w:iCs/>
          <w:color w:val="471E1E"/>
          <w:sz w:val="26"/>
          <w:szCs w:val="26"/>
          <w:bdr w:val="none" w:sz="0" w:space="0" w:color="auto" w:frame="1"/>
          <w:lang w:eastAsia="fr-FR"/>
        </w:rPr>
        <w:t>Peirasmos</w:t>
      </w:r>
      <w:proofErr w:type="spellEnd"/>
      <w:r w:rsidRPr="00EF234B">
        <w:rPr>
          <w:rFonts w:ascii="inherit" w:hAnsi="inherit"/>
          <w:i/>
          <w:iCs/>
          <w:color w:val="471E1E"/>
          <w:sz w:val="26"/>
          <w:szCs w:val="26"/>
          <w:bdr w:val="none" w:sz="0" w:space="0" w:color="auto" w:frame="1"/>
          <w:lang w:eastAsia="fr-FR"/>
        </w:rPr>
        <w:t xml:space="preserve"> / </w:t>
      </w:r>
      <w:proofErr w:type="spellStart"/>
      <w:proofErr w:type="gramStart"/>
      <w:r w:rsidRPr="00EF234B">
        <w:rPr>
          <w:rFonts w:ascii="inherit" w:hAnsi="inherit"/>
          <w:i/>
          <w:iCs/>
          <w:color w:val="471E1E"/>
          <w:sz w:val="26"/>
          <w:szCs w:val="26"/>
          <w:bdr w:val="none" w:sz="0" w:space="0" w:color="auto" w:frame="1"/>
          <w:lang w:eastAsia="fr-FR"/>
        </w:rPr>
        <w:t>tentatio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 :</w:t>
      </w:r>
      <w:proofErr w:type="gramEnd"/>
      <w:r w:rsidRPr="00EF234B">
        <w:rPr>
          <w:color w:val="471E1E"/>
          <w:sz w:val="26"/>
          <w:szCs w:val="26"/>
          <w:lang w:eastAsia="fr-FR"/>
        </w:rPr>
        <w:t xml:space="preserve"> un peu de vocabulaire pour faire un point sur les difficultés de traduction du </w:t>
      </w:r>
      <w:r w:rsidRPr="00EF234B">
        <w:rPr>
          <w:rFonts w:ascii="inherit" w:hAnsi="inherit"/>
          <w:i/>
          <w:iCs/>
          <w:color w:val="471E1E"/>
          <w:sz w:val="26"/>
          <w:szCs w:val="26"/>
          <w:bdr w:val="none" w:sz="0" w:space="0" w:color="auto" w:frame="1"/>
          <w:lang w:eastAsia="fr-FR"/>
        </w:rPr>
        <w:t>Notre Père</w:t>
      </w:r>
    </w:p>
    <w:p w14:paraId="4DE9D6F1"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 xml:space="preserve">Dans la formulation actuelle du Notre Père en français, nous disons : « Ne nous soumets pas à la tentation mais </w:t>
      </w:r>
      <w:proofErr w:type="gramStart"/>
      <w:r w:rsidRPr="00EF234B">
        <w:rPr>
          <w:color w:val="471E1E"/>
          <w:sz w:val="26"/>
          <w:szCs w:val="26"/>
          <w:lang w:eastAsia="fr-FR"/>
        </w:rPr>
        <w:t>délivre nous</w:t>
      </w:r>
      <w:proofErr w:type="gramEnd"/>
      <w:r w:rsidRPr="00EF234B">
        <w:rPr>
          <w:color w:val="471E1E"/>
          <w:sz w:val="26"/>
          <w:szCs w:val="26"/>
          <w:lang w:eastAsia="fr-FR"/>
        </w:rPr>
        <w:t xml:space="preserve"> du Mal ». Faut-il rappeler que quand cette formule a été imposée, voici seulement quelques décennies, nombre de catholiques qui priaient depuis leur enfance : « Ne nous laisse pas succomber à la tentation mais </w:t>
      </w:r>
      <w:proofErr w:type="gramStart"/>
      <w:r w:rsidRPr="00EF234B">
        <w:rPr>
          <w:color w:val="471E1E"/>
          <w:sz w:val="26"/>
          <w:szCs w:val="26"/>
          <w:lang w:eastAsia="fr-FR"/>
        </w:rPr>
        <w:t>délivre nous</w:t>
      </w:r>
      <w:proofErr w:type="gramEnd"/>
      <w:r w:rsidRPr="00EF234B">
        <w:rPr>
          <w:color w:val="471E1E"/>
          <w:sz w:val="26"/>
          <w:szCs w:val="26"/>
          <w:lang w:eastAsia="fr-FR"/>
        </w:rPr>
        <w:t xml:space="preserve"> du mal » n’ont pas compris pourquoi on leur « changeait le Notre Père », faisant de Dieu, leur semblait-il, la source d’une tentation maligne dont toute notion de mise à l’épreuve en vue d’un progrès semble évacuée.</w:t>
      </w:r>
    </w:p>
    <w:p w14:paraId="1EE7C521"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Dans </w:t>
      </w:r>
      <w:r w:rsidRPr="00EF234B">
        <w:rPr>
          <w:rFonts w:ascii="inherit" w:hAnsi="inherit"/>
          <w:i/>
          <w:iCs/>
          <w:color w:val="471E1E"/>
          <w:sz w:val="26"/>
          <w:szCs w:val="26"/>
          <w:bdr w:val="none" w:sz="0" w:space="0" w:color="auto" w:frame="1"/>
          <w:lang w:eastAsia="fr-FR"/>
        </w:rPr>
        <w:t>Le Notre Père. De la Prière de Jésus à la prière des disciples </w:t>
      </w:r>
      <w:r w:rsidRPr="00EF234B">
        <w:rPr>
          <w:color w:val="471E1E"/>
          <w:sz w:val="26"/>
          <w:szCs w:val="26"/>
          <w:lang w:eastAsia="fr-FR"/>
        </w:rPr>
        <w:t xml:space="preserve">(Paris, Gallimard, 2001), Marc </w:t>
      </w:r>
      <w:proofErr w:type="spellStart"/>
      <w:r w:rsidRPr="00EF234B">
        <w:rPr>
          <w:color w:val="471E1E"/>
          <w:sz w:val="26"/>
          <w:szCs w:val="26"/>
          <w:lang w:eastAsia="fr-FR"/>
        </w:rPr>
        <w:t>Philonenko</w:t>
      </w:r>
      <w:proofErr w:type="spellEnd"/>
      <w:r w:rsidRPr="00EF234B">
        <w:rPr>
          <w:color w:val="471E1E"/>
          <w:sz w:val="26"/>
          <w:szCs w:val="26"/>
          <w:lang w:eastAsia="fr-FR"/>
        </w:rPr>
        <w:t xml:space="preserve"> se fondant sur nombre d’études philologiques, exégétiques et littéraires, loin de toute polémique, propose de traduire la sixième demande : « Et fais que nous n’entrions pas dans l’épreuve, mais délivre-nous du Malin » (p. 155).</w:t>
      </w:r>
    </w:p>
    <w:p w14:paraId="3C8233D8"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Faut-il rappeler que dit en araméen le texte du </w:t>
      </w:r>
      <w:r w:rsidRPr="00EF234B">
        <w:rPr>
          <w:rFonts w:ascii="inherit" w:hAnsi="inherit"/>
          <w:i/>
          <w:iCs/>
          <w:color w:val="471E1E"/>
          <w:sz w:val="26"/>
          <w:szCs w:val="26"/>
          <w:bdr w:val="none" w:sz="0" w:space="0" w:color="auto" w:frame="1"/>
          <w:lang w:eastAsia="fr-FR"/>
        </w:rPr>
        <w:t>Notre Père</w:t>
      </w:r>
      <w:r w:rsidRPr="00EF234B">
        <w:rPr>
          <w:color w:val="471E1E"/>
          <w:sz w:val="26"/>
          <w:szCs w:val="26"/>
          <w:lang w:eastAsia="fr-FR"/>
        </w:rPr>
        <w:t> a été conservé et transmis en deux endroits des évangiles : </w:t>
      </w:r>
      <w:r w:rsidRPr="00EF234B">
        <w:rPr>
          <w:rFonts w:ascii="inherit" w:hAnsi="inherit"/>
          <w:i/>
          <w:iCs/>
          <w:color w:val="471E1E"/>
          <w:sz w:val="26"/>
          <w:szCs w:val="26"/>
          <w:bdr w:val="none" w:sz="0" w:space="0" w:color="auto" w:frame="1"/>
          <w:lang w:eastAsia="fr-FR"/>
        </w:rPr>
        <w:t>Luc </w:t>
      </w:r>
      <w:r w:rsidRPr="00EF234B">
        <w:rPr>
          <w:color w:val="471E1E"/>
          <w:sz w:val="26"/>
          <w:szCs w:val="26"/>
          <w:lang w:eastAsia="fr-FR"/>
        </w:rPr>
        <w:t>11, 2-4, texte court comportant cinq demandes, et </w:t>
      </w:r>
      <w:r w:rsidRPr="00EF234B">
        <w:rPr>
          <w:rFonts w:ascii="inherit" w:hAnsi="inherit"/>
          <w:i/>
          <w:iCs/>
          <w:color w:val="471E1E"/>
          <w:sz w:val="26"/>
          <w:szCs w:val="26"/>
          <w:bdr w:val="none" w:sz="0" w:space="0" w:color="auto" w:frame="1"/>
          <w:lang w:eastAsia="fr-FR"/>
        </w:rPr>
        <w:t>Matthieu </w:t>
      </w:r>
      <w:r w:rsidRPr="00EF234B">
        <w:rPr>
          <w:color w:val="471E1E"/>
          <w:sz w:val="26"/>
          <w:szCs w:val="26"/>
          <w:lang w:eastAsia="fr-FR"/>
        </w:rPr>
        <w:t>6, 9-13, texte long comportant sept demandes. Le texte liturgique cité en </w:t>
      </w:r>
      <w:proofErr w:type="spellStart"/>
      <w:r w:rsidRPr="00EF234B">
        <w:rPr>
          <w:rFonts w:ascii="inherit" w:hAnsi="inherit"/>
          <w:i/>
          <w:iCs/>
          <w:color w:val="471E1E"/>
          <w:sz w:val="26"/>
          <w:szCs w:val="26"/>
          <w:bdr w:val="none" w:sz="0" w:space="0" w:color="auto" w:frame="1"/>
          <w:lang w:eastAsia="fr-FR"/>
        </w:rPr>
        <w:t>Didachè</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8, 2 est proche de </w:t>
      </w:r>
      <w:proofErr w:type="gramStart"/>
      <w:r w:rsidRPr="00EF234B">
        <w:rPr>
          <w:rFonts w:ascii="inherit" w:hAnsi="inherit"/>
          <w:i/>
          <w:iCs/>
          <w:color w:val="471E1E"/>
          <w:sz w:val="26"/>
          <w:szCs w:val="26"/>
          <w:bdr w:val="none" w:sz="0" w:space="0" w:color="auto" w:frame="1"/>
          <w:lang w:eastAsia="fr-FR"/>
        </w:rPr>
        <w:t>Matthieu </w:t>
      </w:r>
      <w:r w:rsidRPr="00EF234B">
        <w:rPr>
          <w:color w:val="471E1E"/>
          <w:sz w:val="26"/>
          <w:szCs w:val="26"/>
          <w:lang w:eastAsia="fr-FR"/>
        </w:rPr>
        <w:t> ;</w:t>
      </w:r>
      <w:proofErr w:type="gramEnd"/>
      <w:r w:rsidRPr="00EF234B">
        <w:rPr>
          <w:color w:val="471E1E"/>
          <w:sz w:val="26"/>
          <w:szCs w:val="26"/>
          <w:lang w:eastAsia="fr-FR"/>
        </w:rPr>
        <w:t xml:space="preserve"> sa mise par écrit (en grec) à partir de la tradition orale peut lui être quelque peu antérieure. Les deux formules remontent à un original araméen dont on a une trace chez Jérôme.</w:t>
      </w:r>
    </w:p>
    <w:p w14:paraId="6A0BA96D"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Le </w:t>
      </w:r>
      <w:r w:rsidRPr="00EF234B">
        <w:rPr>
          <w:rFonts w:ascii="inherit" w:hAnsi="inherit"/>
          <w:i/>
          <w:iCs/>
          <w:color w:val="471E1E"/>
          <w:sz w:val="26"/>
          <w:szCs w:val="26"/>
          <w:bdr w:val="none" w:sz="0" w:space="0" w:color="auto" w:frame="1"/>
          <w:lang w:eastAsia="fr-FR"/>
        </w:rPr>
        <w:t>Catéchisme de l’Église catholique</w:t>
      </w:r>
      <w:r w:rsidRPr="00EF234B">
        <w:rPr>
          <w:color w:val="471E1E"/>
          <w:sz w:val="26"/>
          <w:szCs w:val="26"/>
          <w:lang w:eastAsia="fr-FR"/>
        </w:rPr>
        <w:t>, 2</w:t>
      </w:r>
      <w:r w:rsidRPr="00EF234B">
        <w:rPr>
          <w:rFonts w:ascii="inherit" w:hAnsi="inherit"/>
          <w:color w:val="471E1E"/>
          <w:sz w:val="26"/>
          <w:szCs w:val="26"/>
          <w:bdr w:val="none" w:sz="0" w:space="0" w:color="auto" w:frame="1"/>
          <w:vertAlign w:val="superscript"/>
          <w:lang w:eastAsia="fr-FR"/>
        </w:rPr>
        <w:t>ème</w:t>
      </w:r>
      <w:r w:rsidRPr="00EF234B">
        <w:rPr>
          <w:color w:val="471E1E"/>
          <w:sz w:val="26"/>
          <w:szCs w:val="26"/>
          <w:lang w:eastAsia="fr-FR"/>
        </w:rPr>
        <w:t> section : La Prière du Seigneur « Notre Père », traite de la 6</w:t>
      </w:r>
      <w:r w:rsidRPr="00EF234B">
        <w:rPr>
          <w:rFonts w:ascii="inherit" w:hAnsi="inherit"/>
          <w:color w:val="471E1E"/>
          <w:sz w:val="26"/>
          <w:szCs w:val="26"/>
          <w:bdr w:val="none" w:sz="0" w:space="0" w:color="auto" w:frame="1"/>
          <w:vertAlign w:val="superscript"/>
          <w:lang w:eastAsia="fr-FR"/>
        </w:rPr>
        <w:t>ème</w:t>
      </w:r>
      <w:r w:rsidRPr="00EF234B">
        <w:rPr>
          <w:color w:val="471E1E"/>
          <w:sz w:val="26"/>
          <w:szCs w:val="26"/>
          <w:lang w:eastAsia="fr-FR"/>
        </w:rPr>
        <w:t> demande aux § 2846-2849 ; 2863.</w:t>
      </w:r>
    </w:p>
    <w:p w14:paraId="5C6FB122"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 De toutes les demandes du </w:t>
      </w:r>
      <w:r w:rsidRPr="00EF234B">
        <w:rPr>
          <w:rFonts w:ascii="inherit" w:hAnsi="inherit"/>
          <w:i/>
          <w:iCs/>
          <w:color w:val="471E1E"/>
          <w:sz w:val="26"/>
          <w:szCs w:val="26"/>
          <w:bdr w:val="none" w:sz="0" w:space="0" w:color="auto" w:frame="1"/>
          <w:lang w:eastAsia="fr-FR"/>
        </w:rPr>
        <w:t>Notre Père</w:t>
      </w:r>
      <w:r w:rsidRPr="00EF234B">
        <w:rPr>
          <w:color w:val="471E1E"/>
          <w:sz w:val="26"/>
          <w:szCs w:val="26"/>
          <w:lang w:eastAsia="fr-FR"/>
        </w:rPr>
        <w:t xml:space="preserve">, la sixième est peut-être la plus discutée » note M. </w:t>
      </w:r>
      <w:proofErr w:type="spellStart"/>
      <w:r w:rsidRPr="00EF234B">
        <w:rPr>
          <w:color w:val="471E1E"/>
          <w:sz w:val="26"/>
          <w:szCs w:val="26"/>
          <w:lang w:eastAsia="fr-FR"/>
        </w:rPr>
        <w:t>Philonenko</w:t>
      </w:r>
      <w:proofErr w:type="spellEnd"/>
      <w:r w:rsidRPr="00EF234B">
        <w:rPr>
          <w:color w:val="471E1E"/>
          <w:sz w:val="26"/>
          <w:szCs w:val="26"/>
          <w:lang w:eastAsia="fr-FR"/>
        </w:rPr>
        <w:t xml:space="preserve"> (p. 139) : « L’étude du substantif </w:t>
      </w:r>
      <w:proofErr w:type="spellStart"/>
      <w:r w:rsidRPr="00EF234B">
        <w:rPr>
          <w:rFonts w:ascii="inherit" w:hAnsi="inherit"/>
          <w:i/>
          <w:iCs/>
          <w:color w:val="471E1E"/>
          <w:sz w:val="26"/>
          <w:szCs w:val="26"/>
          <w:bdr w:val="none" w:sz="0" w:space="0" w:color="auto" w:frame="1"/>
          <w:lang w:eastAsia="fr-FR"/>
        </w:rPr>
        <w:t>peirasmos</w:t>
      </w:r>
      <w:proofErr w:type="spellEnd"/>
      <w:r w:rsidRPr="00EF234B">
        <w:rPr>
          <w:color w:val="471E1E"/>
          <w:sz w:val="26"/>
          <w:szCs w:val="26"/>
          <w:lang w:eastAsia="fr-FR"/>
        </w:rPr>
        <w:t>, rendu par </w:t>
      </w:r>
      <w:proofErr w:type="spellStart"/>
      <w:r w:rsidRPr="00EF234B">
        <w:rPr>
          <w:rFonts w:ascii="inherit" w:hAnsi="inherit"/>
          <w:i/>
          <w:iCs/>
          <w:color w:val="471E1E"/>
          <w:sz w:val="26"/>
          <w:szCs w:val="26"/>
          <w:bdr w:val="none" w:sz="0" w:space="0" w:color="auto" w:frame="1"/>
          <w:lang w:eastAsia="fr-FR"/>
        </w:rPr>
        <w:t>temptatio</w:t>
      </w:r>
      <w:proofErr w:type="spellEnd"/>
      <w:r w:rsidRPr="00EF234B">
        <w:rPr>
          <w:color w:val="471E1E"/>
          <w:sz w:val="26"/>
          <w:szCs w:val="26"/>
          <w:lang w:eastAsia="fr-FR"/>
        </w:rPr>
        <w:t>, dans la Vulgate, et traduit, le plus souvent, dans les traductions françaises du </w:t>
      </w:r>
      <w:r w:rsidRPr="00EF234B">
        <w:rPr>
          <w:rFonts w:ascii="inherit" w:hAnsi="inherit"/>
          <w:i/>
          <w:iCs/>
          <w:color w:val="471E1E"/>
          <w:sz w:val="26"/>
          <w:szCs w:val="26"/>
          <w:bdr w:val="none" w:sz="0" w:space="0" w:color="auto" w:frame="1"/>
          <w:lang w:eastAsia="fr-FR"/>
        </w:rPr>
        <w:t>Notre Père </w:t>
      </w:r>
      <w:r w:rsidRPr="00EF234B">
        <w:rPr>
          <w:color w:val="471E1E"/>
          <w:sz w:val="26"/>
          <w:szCs w:val="26"/>
          <w:lang w:eastAsia="fr-FR"/>
        </w:rPr>
        <w:t>par « tentation » doit, elle, être reprise d’entrée de jeu ». Ce terme rarissime dans la littérature grecque profane est fréquent dans la version grecque des Septante, où il est considéré comme un néologisme. Le verbe </w:t>
      </w:r>
      <w:proofErr w:type="spellStart"/>
      <w:r w:rsidRPr="00EF234B">
        <w:rPr>
          <w:rFonts w:ascii="inherit" w:hAnsi="inherit"/>
          <w:i/>
          <w:iCs/>
          <w:color w:val="471E1E"/>
          <w:sz w:val="26"/>
          <w:szCs w:val="26"/>
          <w:bdr w:val="none" w:sz="0" w:space="0" w:color="auto" w:frame="1"/>
          <w:lang w:eastAsia="fr-FR"/>
        </w:rPr>
        <w:t>peirazein</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y est employé une soixantaine de fois. Il traduit toujours le terme hébreu </w:t>
      </w:r>
      <w:proofErr w:type="spellStart"/>
      <w:r w:rsidRPr="00EF234B">
        <w:rPr>
          <w:rFonts w:ascii="inherit" w:hAnsi="inherit"/>
          <w:i/>
          <w:iCs/>
          <w:color w:val="471E1E"/>
          <w:sz w:val="26"/>
          <w:szCs w:val="26"/>
          <w:bdr w:val="none" w:sz="0" w:space="0" w:color="auto" w:frame="1"/>
          <w:lang w:eastAsia="fr-FR"/>
        </w:rPr>
        <w:t>nsh</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dont le sens premier est « </w:t>
      </w:r>
      <w:proofErr w:type="gramStart"/>
      <w:r w:rsidRPr="00EF234B">
        <w:rPr>
          <w:color w:val="471E1E"/>
          <w:sz w:val="26"/>
          <w:szCs w:val="26"/>
          <w:lang w:eastAsia="fr-FR"/>
        </w:rPr>
        <w:t>mettre</w:t>
      </w:r>
      <w:proofErr w:type="gramEnd"/>
      <w:r w:rsidRPr="00EF234B">
        <w:rPr>
          <w:color w:val="471E1E"/>
          <w:sz w:val="26"/>
          <w:szCs w:val="26"/>
          <w:lang w:eastAsia="fr-FR"/>
        </w:rPr>
        <w:t xml:space="preserve"> à l’épreuve ». La première attestation en </w:t>
      </w:r>
      <w:proofErr w:type="spellStart"/>
      <w:r w:rsidRPr="00EF234B">
        <w:rPr>
          <w:rFonts w:ascii="inherit" w:hAnsi="inherit"/>
          <w:i/>
          <w:iCs/>
          <w:color w:val="471E1E"/>
          <w:sz w:val="26"/>
          <w:szCs w:val="26"/>
          <w:bdr w:val="none" w:sz="0" w:space="0" w:color="auto" w:frame="1"/>
          <w:lang w:eastAsia="fr-FR"/>
        </w:rPr>
        <w:t>Gn</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22, 1 : « Dieu mit à l’épreuve (</w:t>
      </w:r>
      <w:proofErr w:type="spellStart"/>
      <w:r w:rsidRPr="00EF234B">
        <w:rPr>
          <w:rFonts w:ascii="inherit" w:hAnsi="inherit"/>
          <w:i/>
          <w:iCs/>
          <w:color w:val="471E1E"/>
          <w:sz w:val="26"/>
          <w:szCs w:val="26"/>
          <w:bdr w:val="none" w:sz="0" w:space="0" w:color="auto" w:frame="1"/>
          <w:lang w:eastAsia="fr-FR"/>
        </w:rPr>
        <w:t>epeirazen</w:t>
      </w:r>
      <w:proofErr w:type="spellEnd"/>
      <w:r w:rsidRPr="00EF234B">
        <w:rPr>
          <w:color w:val="471E1E"/>
          <w:sz w:val="26"/>
          <w:szCs w:val="26"/>
          <w:lang w:eastAsia="fr-FR"/>
        </w:rPr>
        <w:t>) Abraham » est maintes fois citée, notamment par Jérôme (</w:t>
      </w:r>
      <w:r w:rsidRPr="00EF234B">
        <w:rPr>
          <w:rFonts w:ascii="inherit" w:hAnsi="inherit"/>
          <w:i/>
          <w:iCs/>
          <w:color w:val="471E1E"/>
          <w:sz w:val="26"/>
          <w:szCs w:val="26"/>
          <w:bdr w:val="none" w:sz="0" w:space="0" w:color="auto" w:frame="1"/>
          <w:lang w:eastAsia="fr-FR"/>
        </w:rPr>
        <w:t>Lettre </w:t>
      </w:r>
      <w:r w:rsidRPr="00EF234B">
        <w:rPr>
          <w:color w:val="471E1E"/>
          <w:sz w:val="26"/>
          <w:szCs w:val="26"/>
          <w:lang w:eastAsia="fr-FR"/>
        </w:rPr>
        <w:t>130, 7). Elle a une valeur archétypale : il s’agit de mettre quelqu’un à l’épreuve pour éprouver sa fidélité. L’initiative vient de Dieu. D’autres personnages sont eux aussi « mis à l’épreuve ». Dans la Vulgate le terme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est utilisé avec ce sens. Ainsi à propos de la cécité du vieux Tobie : « Dieu permit que cette épreuve (</w:t>
      </w:r>
      <w:proofErr w:type="spellStart"/>
      <w:r w:rsidRPr="00EF234B">
        <w:rPr>
          <w:rFonts w:ascii="inherit" w:hAnsi="inherit"/>
          <w:i/>
          <w:iCs/>
          <w:color w:val="471E1E"/>
          <w:sz w:val="26"/>
          <w:szCs w:val="26"/>
          <w:bdr w:val="none" w:sz="0" w:space="0" w:color="auto" w:frame="1"/>
          <w:lang w:eastAsia="fr-FR"/>
        </w:rPr>
        <w:t>tentationem</w:t>
      </w:r>
      <w:proofErr w:type="spellEnd"/>
      <w:r w:rsidRPr="00EF234B">
        <w:rPr>
          <w:color w:val="471E1E"/>
          <w:sz w:val="26"/>
          <w:szCs w:val="26"/>
          <w:lang w:eastAsia="fr-FR"/>
        </w:rPr>
        <w:t>) lui arrivât, afin que sa patience, comme celle du saint homme Job, fût donnée en exemple à la postérité » (</w:t>
      </w:r>
      <w:r w:rsidRPr="00EF234B">
        <w:rPr>
          <w:rFonts w:ascii="inherit" w:hAnsi="inherit"/>
          <w:i/>
          <w:iCs/>
          <w:color w:val="471E1E"/>
          <w:sz w:val="26"/>
          <w:szCs w:val="26"/>
          <w:bdr w:val="none" w:sz="0" w:space="0" w:color="auto" w:frame="1"/>
          <w:lang w:eastAsia="fr-FR"/>
        </w:rPr>
        <w:t>Tb </w:t>
      </w:r>
      <w:r w:rsidRPr="00EF234B">
        <w:rPr>
          <w:color w:val="471E1E"/>
          <w:sz w:val="26"/>
          <w:szCs w:val="26"/>
          <w:lang w:eastAsia="fr-FR"/>
        </w:rPr>
        <w:t>2, 12) et l’ange Raphaël lui déclare : « Parce que tu étais agréable à Dieu, il a fallu que l’épreuve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color w:val="471E1E"/>
          <w:sz w:val="26"/>
          <w:szCs w:val="26"/>
          <w:lang w:eastAsia="fr-FR"/>
        </w:rPr>
        <w:t>) te confirmât ». En l’occurrence l’épreuve a été imposée par Dieu. Mais dans certains cas, ce n’est pas Dieu qui met à l’épreuve mais celui à qui il a donné licence de le faire, c’est le cas pour Job ; ou encore </w:t>
      </w:r>
      <w:r w:rsidRPr="00EF234B">
        <w:rPr>
          <w:rFonts w:ascii="inherit" w:hAnsi="inherit"/>
          <w:i/>
          <w:iCs/>
          <w:color w:val="471E1E"/>
          <w:sz w:val="26"/>
          <w:szCs w:val="26"/>
          <w:bdr w:val="none" w:sz="0" w:space="0" w:color="auto" w:frame="1"/>
          <w:lang w:eastAsia="fr-FR"/>
        </w:rPr>
        <w:t>Épître de Jacques </w:t>
      </w:r>
      <w:r w:rsidRPr="00EF234B">
        <w:rPr>
          <w:color w:val="471E1E"/>
          <w:sz w:val="26"/>
          <w:szCs w:val="26"/>
          <w:lang w:eastAsia="fr-FR"/>
        </w:rPr>
        <w:t>1, 13 : « Dieu ne met lui-même (</w:t>
      </w:r>
      <w:r w:rsidRPr="00EF234B">
        <w:rPr>
          <w:rFonts w:ascii="inherit" w:hAnsi="inherit"/>
          <w:i/>
          <w:iCs/>
          <w:color w:val="471E1E"/>
          <w:sz w:val="26"/>
          <w:szCs w:val="26"/>
          <w:bdr w:val="none" w:sz="0" w:space="0" w:color="auto" w:frame="1"/>
          <w:lang w:eastAsia="fr-FR"/>
        </w:rPr>
        <w:t>autos</w:t>
      </w:r>
      <w:r w:rsidRPr="00EF234B">
        <w:rPr>
          <w:color w:val="471E1E"/>
          <w:sz w:val="26"/>
          <w:szCs w:val="26"/>
          <w:lang w:eastAsia="fr-FR"/>
        </w:rPr>
        <w:t>) à l’épreuve personne ».</w:t>
      </w:r>
    </w:p>
    <w:p w14:paraId="43EB4CD4"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lastRenderedPageBreak/>
        <w:t>La traduction de </w:t>
      </w:r>
      <w:proofErr w:type="spellStart"/>
      <w:r w:rsidRPr="00EF234B">
        <w:rPr>
          <w:rFonts w:ascii="inherit" w:hAnsi="inherit"/>
          <w:i/>
          <w:iCs/>
          <w:color w:val="471E1E"/>
          <w:sz w:val="26"/>
          <w:szCs w:val="26"/>
          <w:bdr w:val="none" w:sz="0" w:space="0" w:color="auto" w:frame="1"/>
          <w:lang w:eastAsia="fr-FR"/>
        </w:rPr>
        <w:t>peirasmos</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par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au sens d’épreuve va de soi.  Le verbe </w:t>
      </w:r>
      <w:proofErr w:type="spellStart"/>
      <w:r w:rsidRPr="00EF234B">
        <w:rPr>
          <w:rFonts w:ascii="inherit" w:hAnsi="inherit"/>
          <w:i/>
          <w:iCs/>
          <w:color w:val="471E1E"/>
          <w:sz w:val="26"/>
          <w:szCs w:val="26"/>
          <w:bdr w:val="none" w:sz="0" w:space="0" w:color="auto" w:frame="1"/>
          <w:lang w:eastAsia="fr-FR"/>
        </w:rPr>
        <w:t>tentare</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signifie d’abord « mettre à l’épreuve », « éprouver par le malheur, les contrariétés … » ; puis « attirer au mal, chercher à séduire, à corrompre, tenter » ex. </w:t>
      </w:r>
      <w:proofErr w:type="spellStart"/>
      <w:r w:rsidRPr="00EF234B">
        <w:rPr>
          <w:rFonts w:ascii="inherit" w:hAnsi="inherit"/>
          <w:i/>
          <w:iCs/>
          <w:color w:val="471E1E"/>
          <w:sz w:val="26"/>
          <w:szCs w:val="26"/>
          <w:bdr w:val="none" w:sz="0" w:space="0" w:color="auto" w:frame="1"/>
          <w:lang w:eastAsia="fr-FR"/>
        </w:rPr>
        <w:t>tentari</w:t>
      </w:r>
      <w:proofErr w:type="spellEnd"/>
      <w:r w:rsidRPr="00EF234B">
        <w:rPr>
          <w:rFonts w:ascii="inherit" w:hAnsi="inherit"/>
          <w:i/>
          <w:iCs/>
          <w:color w:val="471E1E"/>
          <w:sz w:val="26"/>
          <w:szCs w:val="26"/>
          <w:bdr w:val="none" w:sz="0" w:space="0" w:color="auto" w:frame="1"/>
          <w:lang w:eastAsia="fr-FR"/>
        </w:rPr>
        <w:t xml:space="preserve"> a </w:t>
      </w:r>
      <w:proofErr w:type="gramStart"/>
      <w:r w:rsidRPr="00EF234B">
        <w:rPr>
          <w:rFonts w:ascii="inherit" w:hAnsi="inherit"/>
          <w:i/>
          <w:iCs/>
          <w:color w:val="471E1E"/>
          <w:sz w:val="26"/>
          <w:szCs w:val="26"/>
          <w:bdr w:val="none" w:sz="0" w:space="0" w:color="auto" w:frame="1"/>
          <w:lang w:eastAsia="fr-FR"/>
        </w:rPr>
        <w:t>diabolo </w:t>
      </w:r>
      <w:r w:rsidRPr="00EF234B">
        <w:rPr>
          <w:color w:val="471E1E"/>
          <w:sz w:val="26"/>
          <w:szCs w:val="26"/>
          <w:lang w:eastAsia="fr-FR"/>
        </w:rPr>
        <w:t> ;</w:t>
      </w:r>
      <w:proofErr w:type="gramEnd"/>
      <w:r w:rsidRPr="00EF234B">
        <w:rPr>
          <w:color w:val="471E1E"/>
          <w:sz w:val="26"/>
          <w:szCs w:val="26"/>
          <w:lang w:eastAsia="fr-FR"/>
        </w:rPr>
        <w:t xml:space="preserve"> et enfin « tenter Dieu, provoquer sa patience ».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signifie : « épreuve par les soucis, les souffrances, l’adversité » ; « adversité, tribulation, châtiment » ; « tentation venant de l’intérieur ou de l’extérieur, excitation, entraînement au péché » et, là seulement, référence est faite dans les dictionnaires à </w:t>
      </w:r>
      <w:r w:rsidRPr="00EF234B">
        <w:rPr>
          <w:rFonts w:ascii="inherit" w:hAnsi="inherit"/>
          <w:i/>
          <w:iCs/>
          <w:color w:val="471E1E"/>
          <w:sz w:val="26"/>
          <w:szCs w:val="26"/>
          <w:bdr w:val="none" w:sz="0" w:space="0" w:color="auto" w:frame="1"/>
          <w:lang w:eastAsia="fr-FR"/>
        </w:rPr>
        <w:t>Mt </w:t>
      </w:r>
      <w:r w:rsidRPr="00EF234B">
        <w:rPr>
          <w:color w:val="471E1E"/>
          <w:sz w:val="26"/>
          <w:szCs w:val="26"/>
          <w:lang w:eastAsia="fr-FR"/>
        </w:rPr>
        <w:t>6,13 et</w:t>
      </w:r>
      <w:r w:rsidRPr="00EF234B">
        <w:rPr>
          <w:rFonts w:ascii="inherit" w:hAnsi="inherit"/>
          <w:i/>
          <w:iCs/>
          <w:color w:val="471E1E"/>
          <w:sz w:val="26"/>
          <w:szCs w:val="26"/>
          <w:bdr w:val="none" w:sz="0" w:space="0" w:color="auto" w:frame="1"/>
          <w:lang w:eastAsia="fr-FR"/>
        </w:rPr>
        <w:t> </w:t>
      </w:r>
      <w:proofErr w:type="spellStart"/>
      <w:r w:rsidRPr="00EF234B">
        <w:rPr>
          <w:rFonts w:ascii="inherit" w:hAnsi="inherit"/>
          <w:i/>
          <w:iCs/>
          <w:color w:val="471E1E"/>
          <w:sz w:val="26"/>
          <w:szCs w:val="26"/>
          <w:bdr w:val="none" w:sz="0" w:space="0" w:color="auto" w:frame="1"/>
          <w:lang w:eastAsia="fr-FR"/>
        </w:rPr>
        <w:t>Lc</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4,13. Dans le vocabulaire chrétien, c’est ce sens qui s’est imposé notamment en français où le plus souvent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signifie tentation par le Malin.  Alors que dans l’usage courant, le terme n’est pas toujours utilisé en mauvaise part : on peut être tenté de partir en voyage, de faire un achat et même d’accomplir une bonne action !</w:t>
      </w:r>
    </w:p>
    <w:p w14:paraId="34EF34F0"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Commentant le Notre Père dans le </w:t>
      </w:r>
      <w:r w:rsidRPr="00EF234B">
        <w:rPr>
          <w:rFonts w:ascii="inherit" w:hAnsi="inherit"/>
          <w:i/>
          <w:iCs/>
          <w:color w:val="471E1E"/>
          <w:sz w:val="26"/>
          <w:szCs w:val="26"/>
          <w:bdr w:val="none" w:sz="0" w:space="0" w:color="auto" w:frame="1"/>
          <w:lang w:eastAsia="fr-FR"/>
        </w:rPr>
        <w:t xml:space="preserve">De </w:t>
      </w:r>
      <w:proofErr w:type="spellStart"/>
      <w:r w:rsidRPr="00EF234B">
        <w:rPr>
          <w:rFonts w:ascii="inherit" w:hAnsi="inherit"/>
          <w:i/>
          <w:iCs/>
          <w:color w:val="471E1E"/>
          <w:sz w:val="26"/>
          <w:szCs w:val="26"/>
          <w:bdr w:val="none" w:sz="0" w:space="0" w:color="auto" w:frame="1"/>
          <w:lang w:eastAsia="fr-FR"/>
        </w:rPr>
        <w:t>oratione</w:t>
      </w:r>
      <w:proofErr w:type="spellEnd"/>
      <w:r w:rsidRPr="00EF234B">
        <w:rPr>
          <w:rFonts w:ascii="inherit" w:hAnsi="inherit"/>
          <w:i/>
          <w:iCs/>
          <w:color w:val="471E1E"/>
          <w:sz w:val="26"/>
          <w:szCs w:val="26"/>
          <w:bdr w:val="none" w:sz="0" w:space="0" w:color="auto" w:frame="1"/>
          <w:lang w:eastAsia="fr-FR"/>
        </w:rPr>
        <w:t xml:space="preserve"> </w:t>
      </w:r>
      <w:proofErr w:type="spellStart"/>
      <w:r w:rsidRPr="00EF234B">
        <w:rPr>
          <w:rFonts w:ascii="inherit" w:hAnsi="inherit"/>
          <w:i/>
          <w:iCs/>
          <w:color w:val="471E1E"/>
          <w:sz w:val="26"/>
          <w:szCs w:val="26"/>
          <w:bdr w:val="none" w:sz="0" w:space="0" w:color="auto" w:frame="1"/>
          <w:lang w:eastAsia="fr-FR"/>
        </w:rPr>
        <w:t>dominica</w:t>
      </w:r>
      <w:proofErr w:type="spellEnd"/>
      <w:r w:rsidRPr="00EF234B">
        <w:rPr>
          <w:color w:val="471E1E"/>
          <w:sz w:val="26"/>
          <w:szCs w:val="26"/>
          <w:lang w:eastAsia="fr-FR"/>
        </w:rPr>
        <w:t>, catéchèse destinée aux nouveaux baptisés après le rite de la </w:t>
      </w:r>
      <w:proofErr w:type="spellStart"/>
      <w:r w:rsidRPr="00EF234B">
        <w:rPr>
          <w:rFonts w:ascii="inherit" w:hAnsi="inherit"/>
          <w:i/>
          <w:iCs/>
          <w:color w:val="471E1E"/>
          <w:sz w:val="26"/>
          <w:szCs w:val="26"/>
          <w:bdr w:val="none" w:sz="0" w:space="0" w:color="auto" w:frame="1"/>
          <w:lang w:eastAsia="fr-FR"/>
        </w:rPr>
        <w:t>traditio</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du </w:t>
      </w:r>
      <w:r w:rsidRPr="00EF234B">
        <w:rPr>
          <w:rFonts w:ascii="inherit" w:hAnsi="inherit"/>
          <w:i/>
          <w:iCs/>
          <w:color w:val="471E1E"/>
          <w:sz w:val="26"/>
          <w:szCs w:val="26"/>
          <w:bdr w:val="none" w:sz="0" w:space="0" w:color="auto" w:frame="1"/>
          <w:lang w:eastAsia="fr-FR"/>
        </w:rPr>
        <w:t>Pater</w:t>
      </w:r>
      <w:r w:rsidRPr="00EF234B">
        <w:rPr>
          <w:color w:val="471E1E"/>
          <w:sz w:val="26"/>
          <w:szCs w:val="26"/>
          <w:lang w:eastAsia="fr-FR"/>
        </w:rPr>
        <w:t>,</w:t>
      </w:r>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saint Cyprien, à Carthage, au milieu du III</w:t>
      </w:r>
      <w:r w:rsidRPr="00EF234B">
        <w:rPr>
          <w:rFonts w:ascii="inherit" w:hAnsi="inherit"/>
          <w:color w:val="471E1E"/>
          <w:sz w:val="26"/>
          <w:szCs w:val="26"/>
          <w:bdr w:val="none" w:sz="0" w:space="0" w:color="auto" w:frame="1"/>
          <w:vertAlign w:val="superscript"/>
          <w:lang w:eastAsia="fr-FR"/>
        </w:rPr>
        <w:t>e</w:t>
      </w:r>
      <w:r w:rsidRPr="00EF234B">
        <w:rPr>
          <w:color w:val="471E1E"/>
          <w:sz w:val="26"/>
          <w:szCs w:val="26"/>
          <w:lang w:eastAsia="fr-FR"/>
        </w:rPr>
        <w:t> siècle utilise une formule latine antérieure de plus d’un siècle à la Vulgate, et dit : « Selon l’enseignement du Seigneur il est nécessaire que nous disions ensuite dans la prière : « </w:t>
      </w:r>
      <w:r w:rsidRPr="00EF234B">
        <w:rPr>
          <w:rFonts w:ascii="inherit" w:hAnsi="inherit"/>
          <w:i/>
          <w:iCs/>
          <w:color w:val="471E1E"/>
          <w:sz w:val="26"/>
          <w:szCs w:val="26"/>
          <w:bdr w:val="none" w:sz="0" w:space="0" w:color="auto" w:frame="1"/>
          <w:lang w:eastAsia="fr-FR"/>
        </w:rPr>
        <w:t xml:space="preserve">Et ne souffre pas que nous soyons induits en tentation – et ne </w:t>
      </w:r>
      <w:proofErr w:type="spellStart"/>
      <w:r w:rsidRPr="00EF234B">
        <w:rPr>
          <w:rFonts w:ascii="inherit" w:hAnsi="inherit"/>
          <w:i/>
          <w:iCs/>
          <w:color w:val="471E1E"/>
          <w:sz w:val="26"/>
          <w:szCs w:val="26"/>
          <w:bdr w:val="none" w:sz="0" w:space="0" w:color="auto" w:frame="1"/>
          <w:lang w:eastAsia="fr-FR"/>
        </w:rPr>
        <w:t>patiaris</w:t>
      </w:r>
      <w:proofErr w:type="spellEnd"/>
      <w:r w:rsidRPr="00EF234B">
        <w:rPr>
          <w:rFonts w:ascii="inherit" w:hAnsi="inherit"/>
          <w:i/>
          <w:iCs/>
          <w:color w:val="471E1E"/>
          <w:sz w:val="26"/>
          <w:szCs w:val="26"/>
          <w:bdr w:val="none" w:sz="0" w:space="0" w:color="auto" w:frame="1"/>
          <w:lang w:eastAsia="fr-FR"/>
        </w:rPr>
        <w:t xml:space="preserve"> nos </w:t>
      </w:r>
      <w:proofErr w:type="spellStart"/>
      <w:r w:rsidRPr="00EF234B">
        <w:rPr>
          <w:rFonts w:ascii="inherit" w:hAnsi="inherit"/>
          <w:i/>
          <w:iCs/>
          <w:color w:val="471E1E"/>
          <w:sz w:val="26"/>
          <w:szCs w:val="26"/>
          <w:bdr w:val="none" w:sz="0" w:space="0" w:color="auto" w:frame="1"/>
          <w:lang w:eastAsia="fr-FR"/>
        </w:rPr>
        <w:t>induci</w:t>
      </w:r>
      <w:proofErr w:type="spellEnd"/>
      <w:r w:rsidRPr="00EF234B">
        <w:rPr>
          <w:rFonts w:ascii="inherit" w:hAnsi="inherit"/>
          <w:i/>
          <w:iCs/>
          <w:color w:val="471E1E"/>
          <w:sz w:val="26"/>
          <w:szCs w:val="26"/>
          <w:bdr w:val="none" w:sz="0" w:space="0" w:color="auto" w:frame="1"/>
          <w:lang w:eastAsia="fr-FR"/>
        </w:rPr>
        <w:t xml:space="preserve"> in </w:t>
      </w:r>
      <w:proofErr w:type="spellStart"/>
      <w:r w:rsidRPr="00EF234B">
        <w:rPr>
          <w:rFonts w:ascii="inherit" w:hAnsi="inherit"/>
          <w:i/>
          <w:iCs/>
          <w:color w:val="471E1E"/>
          <w:sz w:val="26"/>
          <w:szCs w:val="26"/>
          <w:bdr w:val="none" w:sz="0" w:space="0" w:color="auto" w:frame="1"/>
          <w:lang w:eastAsia="fr-FR"/>
        </w:rPr>
        <w:t>temptationem</w:t>
      </w:r>
      <w:proofErr w:type="spellEnd"/>
      <w:r w:rsidRPr="00EF234B">
        <w:rPr>
          <w:color w:val="471E1E"/>
          <w:sz w:val="26"/>
          <w:szCs w:val="26"/>
          <w:lang w:eastAsia="fr-FR"/>
        </w:rPr>
        <w:t> ». Cette phrase montre que l’Adversaire ne peut rien contre nous sans la permission préalable de Dieu. Toute notre crainte, notre piété, notre vie religieuse doivent être orientées vers Dieu, puisque dans les tentations le Malin n’a aucun pouvoir si ce n’est celui qui lui est donné […] Mais ce pouvoir est donné contre nous à double fin : soit pour nous punir lorsque nous avons péché, soit pour nous éprouver en vue de notre glorification. » (</w:t>
      </w:r>
      <w:proofErr w:type="gramStart"/>
      <w:r w:rsidRPr="00EF234B">
        <w:rPr>
          <w:rFonts w:ascii="inherit" w:hAnsi="inherit"/>
          <w:i/>
          <w:iCs/>
          <w:color w:val="471E1E"/>
          <w:sz w:val="26"/>
          <w:szCs w:val="26"/>
          <w:bdr w:val="none" w:sz="0" w:space="0" w:color="auto" w:frame="1"/>
          <w:lang w:eastAsia="fr-FR"/>
        </w:rPr>
        <w:t>loc.</w:t>
      </w:r>
      <w:proofErr w:type="gramEnd"/>
      <w:r w:rsidRPr="00EF234B">
        <w:rPr>
          <w:rFonts w:ascii="inherit" w:hAnsi="inherit"/>
          <w:i/>
          <w:iCs/>
          <w:color w:val="471E1E"/>
          <w:sz w:val="26"/>
          <w:szCs w:val="26"/>
          <w:bdr w:val="none" w:sz="0" w:space="0" w:color="auto" w:frame="1"/>
          <w:lang w:eastAsia="fr-FR"/>
        </w:rPr>
        <w:t xml:space="preserve"> </w:t>
      </w:r>
      <w:proofErr w:type="spellStart"/>
      <w:r w:rsidRPr="00EF234B">
        <w:rPr>
          <w:rFonts w:ascii="inherit" w:hAnsi="inherit"/>
          <w:i/>
          <w:iCs/>
          <w:color w:val="471E1E"/>
          <w:sz w:val="26"/>
          <w:szCs w:val="26"/>
          <w:bdr w:val="none" w:sz="0" w:space="0" w:color="auto" w:frame="1"/>
          <w:lang w:eastAsia="fr-FR"/>
        </w:rPr>
        <w:t>cit</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 xml:space="preserve">25-26, trad. M. </w:t>
      </w:r>
      <w:proofErr w:type="spellStart"/>
      <w:r w:rsidRPr="00EF234B">
        <w:rPr>
          <w:color w:val="471E1E"/>
          <w:sz w:val="26"/>
          <w:szCs w:val="26"/>
          <w:lang w:eastAsia="fr-FR"/>
        </w:rPr>
        <w:t>Réveillaud</w:t>
      </w:r>
      <w:proofErr w:type="spellEnd"/>
      <w:r w:rsidRPr="00EF234B">
        <w:rPr>
          <w:color w:val="471E1E"/>
          <w:sz w:val="26"/>
          <w:szCs w:val="26"/>
          <w:lang w:eastAsia="fr-FR"/>
        </w:rPr>
        <w:t>). En fait trois formules sont attestées en Afrique à cette époque. Tertullien au début du siècle dit : </w:t>
      </w:r>
      <w:r w:rsidRPr="00EF234B">
        <w:rPr>
          <w:rFonts w:ascii="inherit" w:hAnsi="inherit"/>
          <w:i/>
          <w:iCs/>
          <w:color w:val="471E1E"/>
          <w:sz w:val="26"/>
          <w:szCs w:val="26"/>
          <w:bdr w:val="none" w:sz="0" w:space="0" w:color="auto" w:frame="1"/>
          <w:lang w:eastAsia="fr-FR"/>
        </w:rPr>
        <w:t xml:space="preserve">ne nos </w:t>
      </w:r>
      <w:proofErr w:type="spellStart"/>
      <w:r w:rsidRPr="00EF234B">
        <w:rPr>
          <w:rFonts w:ascii="inherit" w:hAnsi="inherit"/>
          <w:i/>
          <w:iCs/>
          <w:color w:val="471E1E"/>
          <w:sz w:val="26"/>
          <w:szCs w:val="26"/>
          <w:bdr w:val="none" w:sz="0" w:space="0" w:color="auto" w:frame="1"/>
          <w:lang w:eastAsia="fr-FR"/>
        </w:rPr>
        <w:t>inducas</w:t>
      </w:r>
      <w:proofErr w:type="spellEnd"/>
      <w:r w:rsidRPr="00EF234B">
        <w:rPr>
          <w:rFonts w:ascii="inherit" w:hAnsi="inherit"/>
          <w:i/>
          <w:iCs/>
          <w:color w:val="471E1E"/>
          <w:sz w:val="26"/>
          <w:szCs w:val="26"/>
          <w:bdr w:val="none" w:sz="0" w:space="0" w:color="auto" w:frame="1"/>
          <w:lang w:eastAsia="fr-FR"/>
        </w:rPr>
        <w:t xml:space="preserve"> in </w:t>
      </w:r>
      <w:proofErr w:type="spellStart"/>
      <w:r w:rsidRPr="00EF234B">
        <w:rPr>
          <w:rFonts w:ascii="inherit" w:hAnsi="inherit"/>
          <w:i/>
          <w:iCs/>
          <w:color w:val="471E1E"/>
          <w:sz w:val="26"/>
          <w:szCs w:val="26"/>
          <w:bdr w:val="none" w:sz="0" w:space="0" w:color="auto" w:frame="1"/>
          <w:lang w:eastAsia="fr-FR"/>
        </w:rPr>
        <w:t>temptationem</w:t>
      </w:r>
      <w:proofErr w:type="spellEnd"/>
      <w:r w:rsidRPr="00EF234B">
        <w:rPr>
          <w:color w:val="471E1E"/>
          <w:sz w:val="26"/>
          <w:szCs w:val="26"/>
          <w:lang w:eastAsia="fr-FR"/>
        </w:rPr>
        <w:t> (</w:t>
      </w:r>
      <w:r w:rsidRPr="00EF234B">
        <w:rPr>
          <w:rFonts w:ascii="inherit" w:hAnsi="inherit"/>
          <w:i/>
          <w:iCs/>
          <w:color w:val="471E1E"/>
          <w:sz w:val="26"/>
          <w:szCs w:val="26"/>
          <w:bdr w:val="none" w:sz="0" w:space="0" w:color="auto" w:frame="1"/>
          <w:lang w:eastAsia="fr-FR"/>
        </w:rPr>
        <w:t xml:space="preserve">De </w:t>
      </w:r>
      <w:proofErr w:type="spellStart"/>
      <w:r w:rsidRPr="00EF234B">
        <w:rPr>
          <w:rFonts w:ascii="inherit" w:hAnsi="inherit"/>
          <w:i/>
          <w:iCs/>
          <w:color w:val="471E1E"/>
          <w:sz w:val="26"/>
          <w:szCs w:val="26"/>
          <w:bdr w:val="none" w:sz="0" w:space="0" w:color="auto" w:frame="1"/>
          <w:lang w:eastAsia="fr-FR"/>
        </w:rPr>
        <w:t>oratione</w:t>
      </w:r>
      <w:proofErr w:type="spellEnd"/>
      <w:r w:rsidRPr="00EF234B">
        <w:rPr>
          <w:color w:val="471E1E"/>
          <w:sz w:val="26"/>
          <w:szCs w:val="26"/>
          <w:lang w:eastAsia="fr-FR"/>
        </w:rPr>
        <w:t>, 8, 1) et Augustin écrit plus tard : « Nous-mêmes disons à Dieu : </w:t>
      </w:r>
      <w:r w:rsidRPr="00EF234B">
        <w:rPr>
          <w:rFonts w:ascii="inherit" w:hAnsi="inherit"/>
          <w:i/>
          <w:iCs/>
          <w:color w:val="471E1E"/>
          <w:sz w:val="26"/>
          <w:szCs w:val="26"/>
          <w:bdr w:val="none" w:sz="0" w:space="0" w:color="auto" w:frame="1"/>
          <w:lang w:eastAsia="fr-FR"/>
        </w:rPr>
        <w:t xml:space="preserve">Ne nos </w:t>
      </w:r>
      <w:proofErr w:type="spellStart"/>
      <w:r w:rsidRPr="00EF234B">
        <w:rPr>
          <w:rFonts w:ascii="inherit" w:hAnsi="inherit"/>
          <w:i/>
          <w:iCs/>
          <w:color w:val="471E1E"/>
          <w:sz w:val="26"/>
          <w:szCs w:val="26"/>
          <w:bdr w:val="none" w:sz="0" w:space="0" w:color="auto" w:frame="1"/>
          <w:lang w:eastAsia="fr-FR"/>
        </w:rPr>
        <w:t>inferas</w:t>
      </w:r>
      <w:proofErr w:type="spellEnd"/>
      <w:r w:rsidRPr="00EF234B">
        <w:rPr>
          <w:rFonts w:ascii="inherit" w:hAnsi="inherit"/>
          <w:i/>
          <w:iCs/>
          <w:color w:val="471E1E"/>
          <w:sz w:val="26"/>
          <w:szCs w:val="26"/>
          <w:bdr w:val="none" w:sz="0" w:space="0" w:color="auto" w:frame="1"/>
          <w:lang w:eastAsia="fr-FR"/>
        </w:rPr>
        <w:t xml:space="preserve"> in </w:t>
      </w:r>
      <w:proofErr w:type="spellStart"/>
      <w:r w:rsidRPr="00EF234B">
        <w:rPr>
          <w:rFonts w:ascii="inherit" w:hAnsi="inherit"/>
          <w:i/>
          <w:iCs/>
          <w:color w:val="471E1E"/>
          <w:sz w:val="26"/>
          <w:szCs w:val="26"/>
          <w:bdr w:val="none" w:sz="0" w:space="0" w:color="auto" w:frame="1"/>
          <w:lang w:eastAsia="fr-FR"/>
        </w:rPr>
        <w:t>tentationem</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 Mais plusieurs fidèles prient ainsi : </w:t>
      </w:r>
      <w:r w:rsidRPr="00EF234B">
        <w:rPr>
          <w:rFonts w:ascii="inherit" w:hAnsi="inherit"/>
          <w:i/>
          <w:iCs/>
          <w:color w:val="471E1E"/>
          <w:sz w:val="26"/>
          <w:szCs w:val="26"/>
          <w:bdr w:val="none" w:sz="0" w:space="0" w:color="auto" w:frame="1"/>
          <w:lang w:eastAsia="fr-FR"/>
        </w:rPr>
        <w:t xml:space="preserve">Ne </w:t>
      </w:r>
      <w:proofErr w:type="spellStart"/>
      <w:r w:rsidRPr="00EF234B">
        <w:rPr>
          <w:rFonts w:ascii="inherit" w:hAnsi="inherit"/>
          <w:i/>
          <w:iCs/>
          <w:color w:val="471E1E"/>
          <w:sz w:val="26"/>
          <w:szCs w:val="26"/>
          <w:bdr w:val="none" w:sz="0" w:space="0" w:color="auto" w:frame="1"/>
          <w:lang w:eastAsia="fr-FR"/>
        </w:rPr>
        <w:t>patiaris</w:t>
      </w:r>
      <w:proofErr w:type="spellEnd"/>
      <w:r w:rsidRPr="00EF234B">
        <w:rPr>
          <w:rFonts w:ascii="inherit" w:hAnsi="inherit"/>
          <w:i/>
          <w:iCs/>
          <w:color w:val="471E1E"/>
          <w:sz w:val="26"/>
          <w:szCs w:val="26"/>
          <w:bdr w:val="none" w:sz="0" w:space="0" w:color="auto" w:frame="1"/>
          <w:lang w:eastAsia="fr-FR"/>
        </w:rPr>
        <w:t xml:space="preserve"> nos </w:t>
      </w:r>
      <w:proofErr w:type="spellStart"/>
      <w:r w:rsidRPr="00EF234B">
        <w:rPr>
          <w:rFonts w:ascii="inherit" w:hAnsi="inherit"/>
          <w:i/>
          <w:iCs/>
          <w:color w:val="471E1E"/>
          <w:sz w:val="26"/>
          <w:szCs w:val="26"/>
          <w:bdr w:val="none" w:sz="0" w:space="0" w:color="auto" w:frame="1"/>
          <w:lang w:eastAsia="fr-FR"/>
        </w:rPr>
        <w:t>induci</w:t>
      </w:r>
      <w:proofErr w:type="spellEnd"/>
      <w:r w:rsidRPr="00EF234B">
        <w:rPr>
          <w:rFonts w:ascii="inherit" w:hAnsi="inherit"/>
          <w:i/>
          <w:iCs/>
          <w:color w:val="471E1E"/>
          <w:sz w:val="26"/>
          <w:szCs w:val="26"/>
          <w:bdr w:val="none" w:sz="0" w:space="0" w:color="auto" w:frame="1"/>
          <w:lang w:eastAsia="fr-FR"/>
        </w:rPr>
        <w:t xml:space="preserve"> in </w:t>
      </w:r>
      <w:proofErr w:type="spellStart"/>
      <w:proofErr w:type="gramStart"/>
      <w:r w:rsidRPr="00EF234B">
        <w:rPr>
          <w:rFonts w:ascii="inherit" w:hAnsi="inherit"/>
          <w:i/>
          <w:iCs/>
          <w:color w:val="471E1E"/>
          <w:sz w:val="26"/>
          <w:szCs w:val="26"/>
          <w:bdr w:val="none" w:sz="0" w:space="0" w:color="auto" w:frame="1"/>
          <w:lang w:eastAsia="fr-FR"/>
        </w:rPr>
        <w:t>tentationem</w:t>
      </w:r>
      <w:proofErr w:type="spellEnd"/>
      <w:r w:rsidRPr="00EF234B">
        <w:rPr>
          <w:rFonts w:ascii="inherit" w:hAnsi="inherit"/>
          <w:i/>
          <w:iCs/>
          <w:color w:val="471E1E"/>
          <w:sz w:val="26"/>
          <w:szCs w:val="26"/>
          <w:bdr w:val="none" w:sz="0" w:space="0" w:color="auto" w:frame="1"/>
          <w:lang w:eastAsia="fr-FR"/>
        </w:rPr>
        <w:t> </w:t>
      </w:r>
      <w:r w:rsidRPr="00EF234B">
        <w:rPr>
          <w:color w:val="471E1E"/>
          <w:sz w:val="26"/>
          <w:szCs w:val="26"/>
          <w:lang w:eastAsia="fr-FR"/>
        </w:rPr>
        <w:t> ;</w:t>
      </w:r>
      <w:proofErr w:type="gramEnd"/>
      <w:r w:rsidRPr="00EF234B">
        <w:rPr>
          <w:color w:val="471E1E"/>
          <w:sz w:val="26"/>
          <w:szCs w:val="26"/>
          <w:lang w:eastAsia="fr-FR"/>
        </w:rPr>
        <w:t xml:space="preserve"> c’est ce qu’on peut lire en de nombreux manuscrits et le bienheureux Cyprien a suivi cette lecture » (</w:t>
      </w:r>
      <w:r w:rsidRPr="00EF234B">
        <w:rPr>
          <w:rFonts w:ascii="inherit" w:hAnsi="inherit"/>
          <w:i/>
          <w:iCs/>
          <w:color w:val="471E1E"/>
          <w:sz w:val="26"/>
          <w:szCs w:val="26"/>
          <w:bdr w:val="none" w:sz="0" w:space="0" w:color="auto" w:frame="1"/>
          <w:lang w:eastAsia="fr-FR"/>
        </w:rPr>
        <w:t xml:space="preserve">De </w:t>
      </w:r>
      <w:proofErr w:type="spellStart"/>
      <w:r w:rsidRPr="00EF234B">
        <w:rPr>
          <w:rFonts w:ascii="inherit" w:hAnsi="inherit"/>
          <w:i/>
          <w:iCs/>
          <w:color w:val="471E1E"/>
          <w:sz w:val="26"/>
          <w:szCs w:val="26"/>
          <w:bdr w:val="none" w:sz="0" w:space="0" w:color="auto" w:frame="1"/>
          <w:lang w:eastAsia="fr-FR"/>
        </w:rPr>
        <w:t>dono</w:t>
      </w:r>
      <w:proofErr w:type="spellEnd"/>
      <w:r w:rsidRPr="00EF234B">
        <w:rPr>
          <w:rFonts w:ascii="inherit" w:hAnsi="inherit"/>
          <w:i/>
          <w:iCs/>
          <w:color w:val="471E1E"/>
          <w:sz w:val="26"/>
          <w:szCs w:val="26"/>
          <w:bdr w:val="none" w:sz="0" w:space="0" w:color="auto" w:frame="1"/>
          <w:lang w:eastAsia="fr-FR"/>
        </w:rPr>
        <w:t xml:space="preserve"> </w:t>
      </w:r>
      <w:proofErr w:type="spellStart"/>
      <w:r w:rsidRPr="00EF234B">
        <w:rPr>
          <w:rFonts w:ascii="inherit" w:hAnsi="inherit"/>
          <w:i/>
          <w:iCs/>
          <w:color w:val="471E1E"/>
          <w:sz w:val="26"/>
          <w:szCs w:val="26"/>
          <w:bdr w:val="none" w:sz="0" w:space="0" w:color="auto" w:frame="1"/>
          <w:lang w:eastAsia="fr-FR"/>
        </w:rPr>
        <w:t>perseverantiae</w:t>
      </w:r>
      <w:proofErr w:type="spellEnd"/>
      <w:r w:rsidRPr="00EF234B">
        <w:rPr>
          <w:color w:val="471E1E"/>
          <w:sz w:val="26"/>
          <w:szCs w:val="26"/>
          <w:lang w:eastAsia="fr-FR"/>
        </w:rPr>
        <w:t>, 6, 12). Si Jérôme adopte la même lecture que Tertullien, Ambroise suit le texte de Cyprien (</w:t>
      </w:r>
      <w:r w:rsidRPr="00EF234B">
        <w:rPr>
          <w:rFonts w:ascii="inherit" w:hAnsi="inherit"/>
          <w:i/>
          <w:iCs/>
          <w:color w:val="471E1E"/>
          <w:sz w:val="26"/>
          <w:szCs w:val="26"/>
          <w:bdr w:val="none" w:sz="0" w:space="0" w:color="auto" w:frame="1"/>
          <w:lang w:eastAsia="fr-FR"/>
        </w:rPr>
        <w:t xml:space="preserve">De </w:t>
      </w:r>
      <w:proofErr w:type="spellStart"/>
      <w:r w:rsidRPr="00EF234B">
        <w:rPr>
          <w:rFonts w:ascii="inherit" w:hAnsi="inherit"/>
          <w:i/>
          <w:iCs/>
          <w:color w:val="471E1E"/>
          <w:sz w:val="26"/>
          <w:szCs w:val="26"/>
          <w:bdr w:val="none" w:sz="0" w:space="0" w:color="auto" w:frame="1"/>
          <w:lang w:eastAsia="fr-FR"/>
        </w:rPr>
        <w:t>sacramentis</w:t>
      </w:r>
      <w:proofErr w:type="spellEnd"/>
      <w:r w:rsidRPr="00EF234B">
        <w:rPr>
          <w:color w:val="471E1E"/>
          <w:sz w:val="26"/>
          <w:szCs w:val="26"/>
          <w:lang w:eastAsia="fr-FR"/>
        </w:rPr>
        <w:t>, 5, 29) et Hilaire de Poitiers n’en est pas loin quand il écrit : «   nous abandonne pas dans la tentation : </w:t>
      </w:r>
      <w:r w:rsidRPr="00EF234B">
        <w:rPr>
          <w:rFonts w:ascii="inherit" w:hAnsi="inherit"/>
          <w:i/>
          <w:iCs/>
          <w:color w:val="471E1E"/>
          <w:sz w:val="26"/>
          <w:szCs w:val="26"/>
          <w:bdr w:val="none" w:sz="0" w:space="0" w:color="auto" w:frame="1"/>
          <w:lang w:eastAsia="fr-FR"/>
        </w:rPr>
        <w:t xml:space="preserve">non </w:t>
      </w:r>
      <w:proofErr w:type="spellStart"/>
      <w:r w:rsidRPr="00EF234B">
        <w:rPr>
          <w:rFonts w:ascii="inherit" w:hAnsi="inherit"/>
          <w:i/>
          <w:iCs/>
          <w:color w:val="471E1E"/>
          <w:sz w:val="26"/>
          <w:szCs w:val="26"/>
          <w:bdr w:val="none" w:sz="0" w:space="0" w:color="auto" w:frame="1"/>
          <w:lang w:eastAsia="fr-FR"/>
        </w:rPr>
        <w:t>dereliquimus</w:t>
      </w:r>
      <w:proofErr w:type="spellEnd"/>
      <w:r w:rsidRPr="00EF234B">
        <w:rPr>
          <w:rFonts w:ascii="inherit" w:hAnsi="inherit"/>
          <w:i/>
          <w:iCs/>
          <w:color w:val="471E1E"/>
          <w:sz w:val="26"/>
          <w:szCs w:val="26"/>
          <w:bdr w:val="none" w:sz="0" w:space="0" w:color="auto" w:frame="1"/>
          <w:lang w:eastAsia="fr-FR"/>
        </w:rPr>
        <w:t xml:space="preserve"> nos in </w:t>
      </w:r>
      <w:proofErr w:type="spellStart"/>
      <w:r w:rsidRPr="00EF234B">
        <w:rPr>
          <w:rFonts w:ascii="inherit" w:hAnsi="inherit"/>
          <w:i/>
          <w:iCs/>
          <w:color w:val="471E1E"/>
          <w:sz w:val="26"/>
          <w:szCs w:val="26"/>
          <w:bdr w:val="none" w:sz="0" w:space="0" w:color="auto" w:frame="1"/>
          <w:lang w:eastAsia="fr-FR"/>
        </w:rPr>
        <w:t>temptatione</w:t>
      </w:r>
      <w:proofErr w:type="spellEnd"/>
      <w:r w:rsidRPr="00EF234B">
        <w:rPr>
          <w:color w:val="471E1E"/>
          <w:sz w:val="26"/>
          <w:szCs w:val="26"/>
          <w:lang w:eastAsia="fr-FR"/>
        </w:rPr>
        <w:t> » (</w:t>
      </w:r>
      <w:r w:rsidRPr="00EF234B">
        <w:rPr>
          <w:rFonts w:ascii="inherit" w:hAnsi="inherit"/>
          <w:i/>
          <w:iCs/>
          <w:color w:val="471E1E"/>
          <w:sz w:val="26"/>
          <w:szCs w:val="26"/>
          <w:bdr w:val="none" w:sz="0" w:space="0" w:color="auto" w:frame="1"/>
          <w:lang w:eastAsia="fr-FR"/>
        </w:rPr>
        <w:t>Tract. In Ps</w:t>
      </w:r>
      <w:r w:rsidRPr="00EF234B">
        <w:rPr>
          <w:color w:val="471E1E"/>
          <w:sz w:val="26"/>
          <w:szCs w:val="26"/>
          <w:lang w:eastAsia="fr-FR"/>
        </w:rPr>
        <w:t>. 118). </w:t>
      </w:r>
      <w:r w:rsidRPr="00EF234B">
        <w:rPr>
          <w:rFonts w:ascii="inherit" w:hAnsi="inherit"/>
          <w:i/>
          <w:iCs/>
          <w:color w:val="471E1E"/>
          <w:sz w:val="26"/>
          <w:szCs w:val="26"/>
          <w:bdr w:val="none" w:sz="0" w:space="0" w:color="auto" w:frame="1"/>
          <w:lang w:eastAsia="fr-FR"/>
        </w:rPr>
        <w:t> </w:t>
      </w:r>
    </w:p>
    <w:p w14:paraId="57CE9F72" w14:textId="77777777" w:rsidR="00EF234B" w:rsidRPr="00EF234B" w:rsidRDefault="00EF234B" w:rsidP="00EF234B">
      <w:pPr>
        <w:pStyle w:val="Sansinterligne"/>
        <w:rPr>
          <w:color w:val="471E1E"/>
          <w:sz w:val="26"/>
          <w:szCs w:val="26"/>
          <w:lang w:eastAsia="fr-FR"/>
        </w:rPr>
      </w:pPr>
      <w:r w:rsidRPr="00EF234B">
        <w:rPr>
          <w:color w:val="471E1E"/>
          <w:sz w:val="26"/>
          <w:szCs w:val="26"/>
          <w:lang w:eastAsia="fr-FR"/>
        </w:rPr>
        <w:t>Nous voyons donc que dans les formules qui avaient cours aux III</w:t>
      </w:r>
      <w:r w:rsidRPr="00EF234B">
        <w:rPr>
          <w:rFonts w:ascii="inherit" w:hAnsi="inherit"/>
          <w:color w:val="471E1E"/>
          <w:sz w:val="26"/>
          <w:szCs w:val="26"/>
          <w:bdr w:val="none" w:sz="0" w:space="0" w:color="auto" w:frame="1"/>
          <w:vertAlign w:val="superscript"/>
          <w:lang w:eastAsia="fr-FR"/>
        </w:rPr>
        <w:t>e</w:t>
      </w:r>
      <w:r w:rsidRPr="00EF234B">
        <w:rPr>
          <w:color w:val="471E1E"/>
          <w:sz w:val="26"/>
          <w:szCs w:val="26"/>
          <w:lang w:eastAsia="fr-FR"/>
        </w:rPr>
        <w:t>-IV</w:t>
      </w:r>
      <w:r w:rsidRPr="00EF234B">
        <w:rPr>
          <w:rFonts w:ascii="inherit" w:hAnsi="inherit"/>
          <w:color w:val="471E1E"/>
          <w:sz w:val="26"/>
          <w:szCs w:val="26"/>
          <w:bdr w:val="none" w:sz="0" w:space="0" w:color="auto" w:frame="1"/>
          <w:vertAlign w:val="superscript"/>
          <w:lang w:eastAsia="fr-FR"/>
        </w:rPr>
        <w:t>e</w:t>
      </w:r>
      <w:r w:rsidRPr="00EF234B">
        <w:rPr>
          <w:color w:val="471E1E"/>
          <w:sz w:val="26"/>
          <w:szCs w:val="26"/>
          <w:lang w:eastAsia="fr-FR"/>
        </w:rPr>
        <w:t> siècles dans l’Occident chrétien, le terme </w:t>
      </w:r>
      <w:proofErr w:type="spellStart"/>
      <w:r w:rsidRPr="00EF234B">
        <w:rPr>
          <w:rFonts w:ascii="inherit" w:hAnsi="inherit"/>
          <w:i/>
          <w:iCs/>
          <w:color w:val="471E1E"/>
          <w:sz w:val="26"/>
          <w:szCs w:val="26"/>
          <w:bdr w:val="none" w:sz="0" w:space="0" w:color="auto" w:frame="1"/>
          <w:lang w:eastAsia="fr-FR"/>
        </w:rPr>
        <w:t>tentatio</w:t>
      </w:r>
      <w:proofErr w:type="spellEnd"/>
      <w:r w:rsidRPr="00EF234B">
        <w:rPr>
          <w:color w:val="471E1E"/>
          <w:sz w:val="26"/>
          <w:szCs w:val="26"/>
          <w:lang w:eastAsia="fr-FR"/>
        </w:rPr>
        <w:t xml:space="preserve">, même au sens qu’il a pris d’excitation au péché par le Malin, garde aussi son sens de mise à l’épreuve permise par Dieu. Dans le contexte de la persécution en 250, la mise à l’épreuve majeure était la tentation d’apostasie, mais aussi la tentation de l’orgueil pour certains confesseurs qui usurpaient des prérogatives qui étaient celles de l’évêque.  Cyprien ajoutait donc : « Quand nous demandons de ne point venir en tentation, nous sommes donc rappelés au souvenir de notre insuffisance et de notre faiblesse afin que personne ne s’élève avec insolence, que nul ne s’enorgueillisse présomptueusement, que nul ne s’attribue la gloire de sa confession et de sa passion. Le Seigneur a lui-même enseigné l’humilité […] Si on commence par une confession humble et soumise, et que l’on </w:t>
      </w:r>
      <w:r w:rsidRPr="00EF234B">
        <w:rPr>
          <w:color w:val="471E1E"/>
          <w:sz w:val="26"/>
          <w:szCs w:val="26"/>
          <w:lang w:eastAsia="fr-FR"/>
        </w:rPr>
        <w:lastRenderedPageBreak/>
        <w:t>attribue tout à</w:t>
      </w:r>
      <w:bookmarkStart w:id="0" w:name="_GoBack"/>
      <w:bookmarkEnd w:id="0"/>
      <w:r w:rsidRPr="00EF234B">
        <w:rPr>
          <w:color w:val="471E1E"/>
          <w:sz w:val="26"/>
          <w:szCs w:val="26"/>
          <w:lang w:eastAsia="fr-FR"/>
        </w:rPr>
        <w:t xml:space="preserve"> Dieu, quelle que soit la supplication qu’avec crainte et révérence on lui adresse, dans sa bonté il l’exauce » (</w:t>
      </w:r>
      <w:r w:rsidRPr="00EF234B">
        <w:rPr>
          <w:rFonts w:ascii="inherit" w:hAnsi="inherit"/>
          <w:i/>
          <w:iCs/>
          <w:color w:val="471E1E"/>
          <w:sz w:val="26"/>
          <w:szCs w:val="26"/>
          <w:bdr w:val="none" w:sz="0" w:space="0" w:color="auto" w:frame="1"/>
          <w:lang w:eastAsia="fr-FR"/>
        </w:rPr>
        <w:t>Ibid. </w:t>
      </w:r>
      <w:r w:rsidRPr="00EF234B">
        <w:rPr>
          <w:color w:val="471E1E"/>
          <w:sz w:val="26"/>
          <w:szCs w:val="26"/>
          <w:lang w:eastAsia="fr-FR"/>
        </w:rPr>
        <w:t>26).</w:t>
      </w:r>
    </w:p>
    <w:p w14:paraId="2CC7C476" w14:textId="77777777" w:rsidR="00EF234B" w:rsidRPr="00EF234B" w:rsidRDefault="00EF234B" w:rsidP="00EF234B">
      <w:pPr>
        <w:shd w:val="clear" w:color="auto" w:fill="FFFFFF"/>
        <w:spacing w:after="0" w:line="375" w:lineRule="atLeast"/>
        <w:jc w:val="both"/>
        <w:rPr>
          <w:rFonts w:ascii="Open Sans" w:eastAsia="Times New Roman" w:hAnsi="Open Sans" w:cs="Times New Roman"/>
          <w:color w:val="471E1E"/>
          <w:spacing w:val="8"/>
          <w:sz w:val="26"/>
          <w:szCs w:val="26"/>
          <w:lang w:eastAsia="fr-FR"/>
        </w:rPr>
      </w:pPr>
      <w:r w:rsidRPr="00EF234B">
        <w:rPr>
          <w:rFonts w:ascii="inherit" w:eastAsia="Times New Roman" w:hAnsi="inherit" w:cs="Times New Roman"/>
          <w:i/>
          <w:iCs/>
          <w:color w:val="471E1E"/>
          <w:spacing w:val="8"/>
          <w:sz w:val="26"/>
          <w:szCs w:val="26"/>
          <w:bdr w:val="none" w:sz="0" w:space="0" w:color="auto" w:frame="1"/>
          <w:lang w:eastAsia="fr-FR"/>
        </w:rPr>
        <w:t> </w:t>
      </w:r>
    </w:p>
    <w:p w14:paraId="049E9C23" w14:textId="77777777" w:rsidR="00957C9D" w:rsidRDefault="00957C9D"/>
    <w:sectPr w:rsidR="0095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5F5"/>
    <w:multiLevelType w:val="multilevel"/>
    <w:tmpl w:val="300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4F"/>
    <w:rsid w:val="00957C9D"/>
    <w:rsid w:val="00D7394F"/>
    <w:rsid w:val="00EF2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40376-5629-4CAC-8EC4-BC5C706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2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388">
      <w:bodyDiv w:val="1"/>
      <w:marLeft w:val="0"/>
      <w:marRight w:val="0"/>
      <w:marTop w:val="0"/>
      <w:marBottom w:val="0"/>
      <w:divBdr>
        <w:top w:val="none" w:sz="0" w:space="0" w:color="auto"/>
        <w:left w:val="none" w:sz="0" w:space="0" w:color="auto"/>
        <w:bottom w:val="none" w:sz="0" w:space="0" w:color="auto"/>
        <w:right w:val="none" w:sz="0" w:space="0" w:color="auto"/>
      </w:divBdr>
      <w:divsChild>
        <w:div w:id="1793792366">
          <w:marLeft w:val="0"/>
          <w:marRight w:val="0"/>
          <w:marTop w:val="225"/>
          <w:marBottom w:val="375"/>
          <w:divBdr>
            <w:top w:val="none" w:sz="0" w:space="0" w:color="auto"/>
            <w:left w:val="none" w:sz="0" w:space="0" w:color="auto"/>
            <w:bottom w:val="none" w:sz="0" w:space="0" w:color="auto"/>
            <w:right w:val="none" w:sz="0" w:space="0" w:color="auto"/>
          </w:divBdr>
          <w:divsChild>
            <w:div w:id="1202401593">
              <w:marLeft w:val="0"/>
              <w:marRight w:val="0"/>
              <w:marTop w:val="0"/>
              <w:marBottom w:val="0"/>
              <w:divBdr>
                <w:top w:val="none" w:sz="0" w:space="0" w:color="auto"/>
                <w:left w:val="none" w:sz="0" w:space="0" w:color="auto"/>
                <w:bottom w:val="none" w:sz="0" w:space="0" w:color="auto"/>
                <w:right w:val="none" w:sz="0" w:space="0" w:color="auto"/>
              </w:divBdr>
              <w:divsChild>
                <w:div w:id="869221753">
                  <w:marLeft w:val="0"/>
                  <w:marRight w:val="0"/>
                  <w:marTop w:val="0"/>
                  <w:marBottom w:val="0"/>
                  <w:divBdr>
                    <w:top w:val="none" w:sz="0" w:space="0" w:color="auto"/>
                    <w:left w:val="none" w:sz="0" w:space="0" w:color="auto"/>
                    <w:bottom w:val="none" w:sz="0" w:space="0" w:color="auto"/>
                    <w:right w:val="none" w:sz="0" w:space="0" w:color="auto"/>
                  </w:divBdr>
                </w:div>
              </w:divsChild>
            </w:div>
            <w:div w:id="18231603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catho.fr/author/redac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6095</Characters>
  <Application>Microsoft Office Word</Application>
  <DocSecurity>0</DocSecurity>
  <Lines>50</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2018-03-09T14:59:00Z</dcterms:created>
  <dcterms:modified xsi:type="dcterms:W3CDTF">2018-03-09T15:00:00Z</dcterms:modified>
</cp:coreProperties>
</file>